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0D2EFA" w:rsidRDefault="0093415E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eastAsia="en-US"/>
        </w:rPr>
        <w:t>PETI</w:t>
      </w:r>
      <w:r w:rsidRPr="000D2EFA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0D2EFA" w:rsidRPr="000D2EFA">
        <w:rPr>
          <w:rFonts w:ascii="Arial" w:hAnsi="Arial"/>
          <w:b/>
          <w:sz w:val="22"/>
          <w:szCs w:val="22"/>
          <w:lang w:eastAsia="en-US"/>
        </w:rPr>
        <w:t xml:space="preserve">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45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 xml:space="preserve">S podpisom </w:t>
      </w:r>
      <w:r w:rsidR="00090FF3">
        <w:rPr>
          <w:rFonts w:ascii="Arial" w:eastAsia="Calibri" w:hAnsi="Arial" w:cs="Arial"/>
          <w:sz w:val="20"/>
          <w:szCs w:val="20"/>
        </w:rPr>
        <w:t>vlagatelj soglaša</w:t>
      </w:r>
      <w:r w:rsidRPr="00FE1AAE">
        <w:rPr>
          <w:rFonts w:ascii="Arial" w:eastAsia="Calibri" w:hAnsi="Arial" w:cs="Arial"/>
          <w:sz w:val="20"/>
          <w:szCs w:val="20"/>
        </w:rPr>
        <w:t>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</w:t>
      </w:r>
      <w:r w:rsidR="00090FF3">
        <w:rPr>
          <w:rFonts w:ascii="Arial" w:eastAsia="Calibri" w:hAnsi="Arial" w:cs="Arial"/>
          <w:sz w:val="20"/>
          <w:szCs w:val="20"/>
        </w:rPr>
        <w:t>everiti iz uradnih evidenc, bo</w:t>
      </w:r>
      <w:r w:rsidRPr="00FE1AAE">
        <w:rPr>
          <w:rFonts w:ascii="Arial" w:eastAsia="Calibri" w:hAnsi="Arial" w:cs="Arial"/>
          <w:sz w:val="20"/>
          <w:szCs w:val="20"/>
        </w:rPr>
        <w:t xml:space="preserve"> na zahtevo Agencije RS za kmetijske trge</w:t>
      </w:r>
      <w:r w:rsidR="00090FF3">
        <w:rPr>
          <w:rFonts w:ascii="Arial" w:eastAsia="Calibri" w:hAnsi="Arial" w:cs="Arial"/>
          <w:sz w:val="20"/>
          <w:szCs w:val="20"/>
        </w:rPr>
        <w:t xml:space="preserve"> in razvoj podeželja posredoval sam</w:t>
      </w:r>
      <w:r w:rsidRPr="00FE1AAE">
        <w:rPr>
          <w:rFonts w:ascii="Arial" w:eastAsia="Calibri" w:hAnsi="Arial" w:cs="Arial"/>
          <w:sz w:val="20"/>
          <w:szCs w:val="20"/>
        </w:rPr>
        <w:t>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C96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  <w:p w:rsidR="00960F62" w:rsidRPr="00417C96" w:rsidRDefault="00960F62" w:rsidP="00417C96">
            <w:pPr>
              <w:jc w:val="center"/>
            </w:pP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lastRenderedPageBreak/>
        <w:t xml:space="preserve">III. </w:t>
      </w:r>
      <w:r w:rsidRPr="00843761">
        <w:rPr>
          <w:rFonts w:ascii="Arial" w:hAnsi="Arial"/>
          <w:b/>
          <w:sz w:val="20"/>
          <w:lang w:eastAsia="en-US"/>
        </w:rPr>
        <w:t>IZJAVA VLAGATELJA GLEDE IZPOLNJEVANJA DOLOČIL O DOPUSTNOSTI VLOG IZ 10. ČLENA UREDBE 508/2014/EU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p w:rsidR="00B71790" w:rsidRPr="00A7292B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A7292B">
        <w:rPr>
          <w:rFonts w:ascii="Arial" w:hAnsi="Arial"/>
          <w:sz w:val="20"/>
          <w:lang w:eastAsia="en-US"/>
        </w:rPr>
        <w:t xml:space="preserve">V času izvajanja operacije in še </w:t>
      </w:r>
      <w:r>
        <w:rPr>
          <w:rFonts w:ascii="Arial" w:hAnsi="Arial"/>
          <w:sz w:val="20"/>
          <w:lang w:eastAsia="en-US"/>
        </w:rPr>
        <w:t>deset</w:t>
      </w:r>
      <w:r w:rsidRPr="00A7292B">
        <w:rPr>
          <w:rFonts w:ascii="Arial" w:hAnsi="Arial"/>
          <w:sz w:val="20"/>
          <w:lang w:eastAsia="en-US"/>
        </w:rPr>
        <w:t xml:space="preserve"> let po zadnjem izplačilu sredstev mora upravičenec izpolnj</w:t>
      </w:r>
      <w:r>
        <w:rPr>
          <w:rFonts w:ascii="Arial" w:hAnsi="Arial"/>
          <w:sz w:val="20"/>
          <w:lang w:eastAsia="en-US"/>
        </w:rPr>
        <w:t>evati</w:t>
      </w:r>
      <w:r w:rsidRPr="00A7292B">
        <w:rPr>
          <w:rFonts w:ascii="Arial" w:hAnsi="Arial"/>
          <w:sz w:val="20"/>
          <w:lang w:eastAsia="en-US"/>
        </w:rPr>
        <w:t xml:space="preserve"> določila o dopustnosti vlog iz 10. člena Uredbe 508/2014/EU.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Vlagatelj podpiše izjavo.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Vlagatelj: 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Naslov, sedež: ____________________________________________________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18264A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Vlagatelj izjavlja, da izpolnjuje</w:t>
      </w:r>
      <w:r w:rsidR="00B71790" w:rsidRPr="00843761">
        <w:rPr>
          <w:rFonts w:ascii="Arial" w:hAnsi="Arial"/>
          <w:sz w:val="20"/>
          <w:lang w:eastAsia="en-US"/>
        </w:rPr>
        <w:t xml:space="preserve"> določila o dopustnosti vlog iz 10. člena Uredbe 508/2014/EU, ki se nanašajo na: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hude kršitve iz 42. člena Uredbe 1005/2008/EU ali prvega odstavka 90. člena Uredbe 1224/2009/ES;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upravljanje, vodenje ali lastništvo ribiških plovil, vključenih na seznam plovil, ki izvajajo nezakoniti, neprijavljeni in </w:t>
      </w:r>
      <w:proofErr w:type="spellStart"/>
      <w:r w:rsidRPr="00843761">
        <w:rPr>
          <w:rFonts w:ascii="Arial" w:hAnsi="Arial"/>
          <w:sz w:val="20"/>
          <w:lang w:eastAsia="en-US"/>
        </w:rPr>
        <w:t>neregulirani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ribolov Unije iz tretjega odstavka 40. člena Uredbe 1005/2008/ES, ali plovil, ki plujejo pod zastavo držav, ki so opredeljene kot </w:t>
      </w:r>
      <w:proofErr w:type="spellStart"/>
      <w:r w:rsidRPr="00843761">
        <w:rPr>
          <w:rFonts w:ascii="Arial" w:hAnsi="Arial"/>
          <w:sz w:val="20"/>
          <w:lang w:eastAsia="en-US"/>
        </w:rPr>
        <w:t>nesodelujoče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tretje države iz 33. člena Uredbe 1005/2008/ES; </w:t>
      </w:r>
    </w:p>
    <w:p w:rsidR="00B71790" w:rsidRPr="00843761" w:rsidRDefault="006873C4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– hudo kršitev</w:t>
      </w:r>
      <w:r w:rsidR="00B71790" w:rsidRPr="00843761">
        <w:rPr>
          <w:rFonts w:ascii="Arial" w:hAnsi="Arial"/>
          <w:sz w:val="20"/>
          <w:lang w:eastAsia="en-US"/>
        </w:rPr>
        <w:t xml:space="preserve"> pravil skupne ribiške politike, ki je kot taka opredeljena v drugi zakonodaji, ki sta jo sprejela Evropski parlament in Svet ter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– goljufije v okviru Evropskega sklada za ribištvo in Evropskega sklada za pomorstvo in ribištvo.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 __________, dne_________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  <w:t xml:space="preserve"> ________________________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žig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ind w:left="5664" w:firstLine="708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Ime in priimek: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(Podpis odgovorne osebe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u w:val="single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 xml:space="preserve"> vlagatelja) </w:t>
      </w:r>
    </w:p>
    <w:p w:rsidR="00B71790" w:rsidRDefault="00B71790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B71790" w:rsidRDefault="00B717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6"/>
        <w:gridCol w:w="7267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2D" w:rsidRDefault="00AA512D">
      <w:r>
        <w:separator/>
      </w:r>
    </w:p>
  </w:endnote>
  <w:endnote w:type="continuationSeparator" w:id="0">
    <w:p w:rsidR="00AA512D" w:rsidRDefault="00AA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90FF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2D" w:rsidRDefault="00AA512D">
      <w:r>
        <w:separator/>
      </w:r>
    </w:p>
  </w:footnote>
  <w:footnote w:type="continuationSeparator" w:id="0">
    <w:p w:rsidR="00AA512D" w:rsidRDefault="00AA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C184B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00997"/>
    <w:rsid w:val="00001658"/>
    <w:rsid w:val="00005521"/>
    <w:rsid w:val="000056AB"/>
    <w:rsid w:val="0000655A"/>
    <w:rsid w:val="00007310"/>
    <w:rsid w:val="00011F4E"/>
    <w:rsid w:val="000125B5"/>
    <w:rsid w:val="000149B8"/>
    <w:rsid w:val="00015DE0"/>
    <w:rsid w:val="00015E87"/>
    <w:rsid w:val="000162DE"/>
    <w:rsid w:val="000168FD"/>
    <w:rsid w:val="00017281"/>
    <w:rsid w:val="000177A7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814"/>
    <w:rsid w:val="00082ED0"/>
    <w:rsid w:val="00084256"/>
    <w:rsid w:val="000843DC"/>
    <w:rsid w:val="00084B70"/>
    <w:rsid w:val="000865C7"/>
    <w:rsid w:val="00087318"/>
    <w:rsid w:val="00090FF3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522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264A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43FA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C744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4E46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5F8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17C96"/>
    <w:rsid w:val="00420800"/>
    <w:rsid w:val="00420F86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1476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873C4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367D"/>
    <w:rsid w:val="006B41E3"/>
    <w:rsid w:val="006B5A4C"/>
    <w:rsid w:val="006B793F"/>
    <w:rsid w:val="006C1CA2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4CB7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D6352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12B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49A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19C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296B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415E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3F3B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6C46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676B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512D"/>
    <w:rsid w:val="00AA6C01"/>
    <w:rsid w:val="00AB037E"/>
    <w:rsid w:val="00AB0F38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14AD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27E68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179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328D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25D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0E9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34D1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16BD7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003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3CD2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3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42AA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611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C48D"/>
  <w15:docId w15:val="{380E94C2-89FC-4CBA-8E7B-F0FF83C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8646-6824-4A36-B7BE-3B3E1084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4212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Bunič</cp:lastModifiedBy>
  <cp:revision>3</cp:revision>
  <cp:lastPrinted>2017-02-13T12:20:00Z</cp:lastPrinted>
  <dcterms:created xsi:type="dcterms:W3CDTF">2021-10-12T11:32:00Z</dcterms:created>
  <dcterms:modified xsi:type="dcterms:W3CDTF">2021-10-12T11:36:00Z</dcterms:modified>
</cp:coreProperties>
</file>